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E603E3A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FA0378">
        <w:rPr>
          <w:rFonts w:ascii="Times New Roman" w:hAnsi="Times New Roman"/>
          <w:caps/>
          <w:color w:val="000000"/>
          <w:sz w:val="20"/>
          <w:szCs w:val="20"/>
        </w:rPr>
        <w:t>4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7E210DC" w:rsidR="00F110EF" w:rsidRPr="0071785B" w:rsidRDefault="00A744AE" w:rsidP="00FA0378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03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апреля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71785B" w:rsidRDefault="00FA0378" w:rsidP="0071785B">
      <w:pPr>
        <w:jc w:val="center"/>
        <w:rPr>
          <w:color w:val="000000"/>
          <w:sz w:val="20"/>
          <w:szCs w:val="20"/>
        </w:rPr>
      </w:pPr>
    </w:p>
    <w:p w14:paraId="7FA3BBC6" w14:textId="47607CF3" w:rsidR="0071785B" w:rsidRDefault="00E70344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 приеме</w:t>
      </w:r>
      <w:r w:rsidR="00E0735D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 </w:t>
      </w:r>
      <w:r w:rsidR="00107A8E">
        <w:rPr>
          <w:sz w:val="20"/>
          <w:szCs w:val="20"/>
        </w:rPr>
        <w:t>в члены Ассоциации</w:t>
      </w:r>
      <w:r w:rsidR="00E0735D">
        <w:rPr>
          <w:sz w:val="20"/>
          <w:szCs w:val="20"/>
        </w:rPr>
        <w:t xml:space="preserve"> при условии уплаты взноса в компенсационный фонд возмещения вреда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1B83E1C5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E0735D">
        <w:rPr>
          <w:sz w:val="20"/>
          <w:szCs w:val="20"/>
        </w:rPr>
        <w:t>О приеме юридического лица в члены Ассоциации при условии уплаты взноса в компенсационный фонд возмещения вреда</w:t>
      </w:r>
      <w:r w:rsidRPr="0071785B">
        <w:rPr>
          <w:sz w:val="20"/>
          <w:szCs w:val="20"/>
        </w:rPr>
        <w:t>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8914C29" w14:textId="27497E6C" w:rsidR="0071785B" w:rsidRDefault="00E0735D" w:rsidP="00E0735D">
      <w:pPr>
        <w:ind w:firstLine="426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при условии уплаты взноса в компенсационный фонд возмещения вреда (1 уровень ответственности) </w:t>
      </w:r>
      <w:r w:rsidR="00FA0378" w:rsidRPr="00FA0378">
        <w:rPr>
          <w:b/>
          <w:bCs/>
          <w:color w:val="000000"/>
          <w:sz w:val="20"/>
          <w:szCs w:val="20"/>
        </w:rPr>
        <w:t>ООО «</w:t>
      </w:r>
      <w:proofErr w:type="spellStart"/>
      <w:r w:rsidR="00FA0378" w:rsidRPr="00FA0378">
        <w:rPr>
          <w:b/>
          <w:bCs/>
          <w:color w:val="000000"/>
          <w:sz w:val="20"/>
          <w:szCs w:val="20"/>
        </w:rPr>
        <w:t>ЭнергоАудит</w:t>
      </w:r>
      <w:proofErr w:type="spellEnd"/>
      <w:r w:rsidR="00FA0378" w:rsidRPr="00FA0378">
        <w:rPr>
          <w:b/>
          <w:bCs/>
          <w:color w:val="000000"/>
          <w:sz w:val="20"/>
          <w:szCs w:val="20"/>
        </w:rPr>
        <w:t>»</w:t>
      </w:r>
      <w:r>
        <w:rPr>
          <w:b/>
          <w:bCs/>
          <w:color w:val="000000"/>
          <w:sz w:val="20"/>
          <w:szCs w:val="20"/>
        </w:rPr>
        <w:t xml:space="preserve">, ИНН </w:t>
      </w:r>
      <w:r w:rsidR="00FA0378" w:rsidRPr="00FA0378">
        <w:rPr>
          <w:b/>
          <w:bCs/>
          <w:color w:val="000000"/>
          <w:sz w:val="20"/>
          <w:szCs w:val="20"/>
        </w:rPr>
        <w:t>4501170836</w:t>
      </w:r>
      <w:r>
        <w:rPr>
          <w:b/>
          <w:bCs/>
          <w:color w:val="000000"/>
          <w:sz w:val="20"/>
          <w:szCs w:val="20"/>
        </w:rPr>
        <w:t>.</w:t>
      </w:r>
    </w:p>
    <w:p w14:paraId="6EDB48DC" w14:textId="77777777" w:rsidR="0014391C" w:rsidRPr="0071785B" w:rsidRDefault="0014391C" w:rsidP="0071785B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0046-F805-482D-A4ED-7140A981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2018-12-20T08:24:00Z</cp:lastPrinted>
  <dcterms:created xsi:type="dcterms:W3CDTF">2019-04-08T08:57:00Z</dcterms:created>
  <dcterms:modified xsi:type="dcterms:W3CDTF">2019-04-08T08:57:00Z</dcterms:modified>
</cp:coreProperties>
</file>